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29D69">
      <w:pPr>
        <w:spacing w:line="560" w:lineRule="exact"/>
        <w:jc w:val="center"/>
        <w:rPr>
          <w:rFonts w:hint="eastAsia" w:ascii="方正小标宋_GBK" w:eastAsia="方正小标宋_GBK"/>
          <w:color w:val="000000"/>
          <w:sz w:val="44"/>
          <w:szCs w:val="44"/>
          <w:lang w:val="en-US" w:eastAsia="zh-CN" w:bidi="ar"/>
        </w:rPr>
      </w:pPr>
      <w:r>
        <w:rPr>
          <w:rFonts w:hint="eastAsia" w:ascii="方正小标宋_GBK" w:eastAsia="方正小标宋_GBK"/>
          <w:color w:val="000000"/>
          <w:sz w:val="44"/>
          <w:szCs w:val="44"/>
          <w:lang w:val="en-US" w:eastAsia="zh-CN" w:bidi="ar"/>
        </w:rPr>
        <w:t>中国科学院学部咨询评议项目选题指南</w:t>
      </w:r>
    </w:p>
    <w:p w14:paraId="0D69555F">
      <w:pPr>
        <w:spacing w:line="560" w:lineRule="exact"/>
        <w:jc w:val="center"/>
        <w:rPr>
          <w:rFonts w:hint="eastAsia" w:ascii="方正小标宋_GBK" w:eastAsia="方正小标宋_GBK"/>
          <w:color w:val="000000"/>
          <w:sz w:val="44"/>
          <w:szCs w:val="44"/>
          <w:lang w:val="en-US" w:eastAsia="zh-CN"/>
        </w:rPr>
      </w:pPr>
      <w:r>
        <w:rPr>
          <w:rFonts w:hint="eastAsia" w:ascii="方正小标宋_GBK" w:eastAsia="方正小标宋_GBK"/>
          <w:color w:val="000000"/>
          <w:sz w:val="44"/>
          <w:szCs w:val="44"/>
          <w:lang w:val="en-US" w:eastAsia="zh-CN" w:bidi="ar"/>
        </w:rPr>
        <w:t>（2025年）</w:t>
      </w:r>
    </w:p>
    <w:p w14:paraId="5841955B">
      <w:pPr>
        <w:spacing w:line="560" w:lineRule="exact"/>
        <w:jc w:val="center"/>
        <w:rPr>
          <w:rFonts w:eastAsia="楷体"/>
          <w:color w:val="000000"/>
          <w:sz w:val="32"/>
          <w:szCs w:val="32"/>
          <w:lang w:val="en-US" w:eastAsia="zh-CN"/>
        </w:rPr>
      </w:pPr>
    </w:p>
    <w:p w14:paraId="23202A4A">
      <w:pPr>
        <w:spacing w:line="560" w:lineRule="exact"/>
        <w:ind w:firstLine="600" w:firstLineChars="200"/>
        <w:jc w:val="both"/>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bidi="ar"/>
        </w:rPr>
        <w:t>为深入贯彻落实党的二十大和二十届二中、三中全会精神，按照全国科技大会、中央经济工作会议部署要求和学部主席团工作安排，中国科学院学部咨询评议工作委员会组织研究编制并发布《中国科学院学部咨询评议项目选题指南（2025年）》（以下简称《选题指南》），供凝练咨询选题、部署咨询评议项目参考。</w:t>
      </w:r>
    </w:p>
    <w:p w14:paraId="262F89C0">
      <w:pPr>
        <w:spacing w:line="560" w:lineRule="exact"/>
        <w:ind w:firstLine="600" w:firstLineChars="200"/>
        <w:jc w:val="both"/>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bidi="ar"/>
        </w:rPr>
        <w:t>本年度《选题指南》聚焦国家需求、科技发展、科技治理三大领域，坚持前瞻性、针对性、储备性选题原则，提出咨询评议项目选题方向和范围，旨在引导院士专家切实为国家科学技术重大决策提出建设性、可行性、专业化的咨询评议意见和建议，在事关发展全局和国家安全的重大战略决策中发挥实质性作用。</w:t>
      </w:r>
    </w:p>
    <w:p w14:paraId="149DA2C5">
      <w:pPr>
        <w:spacing w:line="560" w:lineRule="exact"/>
        <w:ind w:right="59" w:rightChars="31" w:firstLine="600" w:firstLineChars="200"/>
        <w:jc w:val="both"/>
        <w:rPr>
          <w:rFonts w:eastAsia="黑体"/>
          <w:color w:val="000000"/>
          <w:sz w:val="32"/>
          <w:szCs w:val="32"/>
          <w:lang w:val="en-US" w:eastAsia="zh-CN"/>
        </w:rPr>
      </w:pPr>
      <w:r>
        <w:rPr>
          <w:rFonts w:hint="eastAsia" w:eastAsia="黑体"/>
          <w:color w:val="000000"/>
          <w:sz w:val="32"/>
          <w:szCs w:val="32"/>
          <w:lang w:val="en-US" w:eastAsia="zh-CN" w:bidi="ar"/>
        </w:rPr>
        <w:t>一、国家需求</w:t>
      </w:r>
    </w:p>
    <w:p w14:paraId="63E8C2DC">
      <w:pPr>
        <w:spacing w:line="560" w:lineRule="exact"/>
        <w:ind w:firstLine="600" w:firstLineChars="200"/>
        <w:jc w:val="both"/>
        <w:rPr>
          <w:rFonts w:hint="eastAsia" w:ascii="仿宋_GB2312" w:eastAsia="仿宋_GB2312"/>
          <w:color w:val="000000"/>
          <w:sz w:val="32"/>
          <w:szCs w:val="32"/>
          <w:lang w:val="en-US" w:eastAsia="zh-CN"/>
        </w:rPr>
      </w:pPr>
      <w:r>
        <w:rPr>
          <w:rFonts w:hint="eastAsia" w:ascii="仿宋_GB2312" w:eastAsia="仿宋_GB2312"/>
          <w:color w:val="000000"/>
          <w:sz w:val="32"/>
          <w:szCs w:val="24"/>
          <w:lang w:val="en-US" w:eastAsia="zh-CN" w:bidi="ar"/>
        </w:rPr>
        <w:t>开展事关国家发展重大需求的战略研究，围绕经济社会发展和生态文明建设中的科技问题，以及涉及国计民生和国家安全重点领域面临的关键科技问题进行科学研判，</w:t>
      </w:r>
      <w:r>
        <w:rPr>
          <w:rFonts w:hint="eastAsia" w:ascii="仿宋_GB2312" w:eastAsia="仿宋_GB2312"/>
          <w:color w:val="000000"/>
          <w:sz w:val="32"/>
          <w:szCs w:val="32"/>
          <w:lang w:val="en-US" w:eastAsia="zh-CN" w:bidi="ar"/>
        </w:rPr>
        <w:t>提出体现科技特色的系统解决方案。</w:t>
      </w:r>
    </w:p>
    <w:p w14:paraId="14DB5DD6">
      <w:pPr>
        <w:spacing w:line="560" w:lineRule="exact"/>
        <w:ind w:right="59" w:rightChars="31" w:firstLine="603" w:firstLineChars="200"/>
        <w:jc w:val="both"/>
        <w:rPr>
          <w:rFonts w:hint="eastAsia" w:ascii="仿宋_GB2312" w:eastAsia="仿宋_GB2312"/>
          <w:color w:val="000000"/>
          <w:sz w:val="32"/>
          <w:szCs w:val="32"/>
          <w:lang w:val="en-US" w:eastAsia="zh-CN"/>
        </w:rPr>
      </w:pPr>
      <w:r>
        <w:rPr>
          <w:rFonts w:hint="eastAsia" w:ascii="仿宋_GB2312" w:eastAsia="仿宋_GB2312"/>
          <w:b/>
          <w:bCs/>
          <w:color w:val="000000"/>
          <w:sz w:val="32"/>
          <w:szCs w:val="32"/>
          <w:lang w:val="en-US" w:eastAsia="zh-CN" w:bidi="ar"/>
        </w:rPr>
        <w:t>1. 培育发展新质生产力。</w:t>
      </w:r>
      <w:r>
        <w:rPr>
          <w:rFonts w:hint="eastAsia" w:ascii="仿宋_GB2312" w:eastAsia="仿宋_GB2312"/>
          <w:color w:val="000000"/>
          <w:sz w:val="32"/>
          <w:szCs w:val="32"/>
          <w:lang w:val="en-US" w:eastAsia="zh-CN" w:bidi="ar"/>
        </w:rPr>
        <w:t>聚焦培育新质生产力、构建现代化产业体系、增强产业链供应链韧性，提出科技支撑传统产业转型升级、新兴产业与未来产业提质发展的路径和对策建议，有力支撑经济数字化、智能化转型与高质量发展。</w:t>
      </w:r>
    </w:p>
    <w:p w14:paraId="0022F2B6">
      <w:pPr>
        <w:spacing w:line="560" w:lineRule="exact"/>
        <w:ind w:right="59" w:rightChars="31" w:firstLine="603" w:firstLineChars="200"/>
        <w:jc w:val="both"/>
        <w:rPr>
          <w:rFonts w:hint="eastAsia" w:ascii="仿宋_GB2312" w:eastAsia="仿宋_GB2312"/>
          <w:color w:val="000000"/>
          <w:sz w:val="32"/>
          <w:szCs w:val="32"/>
          <w:lang w:val="en-US" w:eastAsia="zh-CN"/>
        </w:rPr>
      </w:pPr>
      <w:r>
        <w:rPr>
          <w:rFonts w:hint="eastAsia" w:ascii="仿宋_GB2312" w:eastAsia="仿宋_GB2312"/>
          <w:b/>
          <w:bCs/>
          <w:color w:val="000000"/>
          <w:sz w:val="32"/>
          <w:szCs w:val="32"/>
          <w:lang w:val="en-US" w:eastAsia="zh-CN" w:bidi="ar"/>
        </w:rPr>
        <w:t>2. 提升人民生活福祉。</w:t>
      </w:r>
      <w:r>
        <w:rPr>
          <w:rFonts w:hint="eastAsia" w:ascii="仿宋_GB2312" w:eastAsia="仿宋_GB2312"/>
          <w:color w:val="000000"/>
          <w:sz w:val="32"/>
          <w:szCs w:val="32"/>
          <w:lang w:val="en-US" w:eastAsia="zh-CN" w:bidi="ar"/>
        </w:rPr>
        <w:t>围绕区域协调发展与城乡融合发展，开展科技战略咨询；以人民健康为中心，提出关注生命全周期、健康全过程的“健康中国”科技解决方案；针对新技术带来的就业、伦理等社会问题进行综合研判，提出对策建议。</w:t>
      </w:r>
    </w:p>
    <w:p w14:paraId="3E4305FC">
      <w:pPr>
        <w:spacing w:line="560" w:lineRule="exact"/>
        <w:ind w:right="59" w:rightChars="31" w:firstLine="603" w:firstLineChars="200"/>
        <w:jc w:val="both"/>
        <w:rPr>
          <w:rFonts w:hint="eastAsia" w:ascii="仿宋_GB2312" w:eastAsia="仿宋_GB2312"/>
          <w:color w:val="000000"/>
          <w:sz w:val="32"/>
          <w:szCs w:val="32"/>
          <w:lang w:val="en-US" w:eastAsia="zh-CN"/>
        </w:rPr>
      </w:pPr>
      <w:r>
        <w:rPr>
          <w:rFonts w:hint="eastAsia" w:ascii="仿宋_GB2312" w:eastAsia="仿宋_GB2312"/>
          <w:b/>
          <w:bCs/>
          <w:color w:val="000000"/>
          <w:sz w:val="32"/>
          <w:szCs w:val="32"/>
          <w:lang w:val="en-US" w:eastAsia="zh-CN" w:bidi="ar"/>
        </w:rPr>
        <w:t>3. 美丽中国建设。</w:t>
      </w:r>
      <w:r>
        <w:rPr>
          <w:rFonts w:hint="eastAsia" w:ascii="仿宋_GB2312" w:eastAsia="仿宋_GB2312"/>
          <w:color w:val="000000"/>
          <w:sz w:val="32"/>
          <w:szCs w:val="32"/>
          <w:lang w:val="en-US" w:eastAsia="zh-CN" w:bidi="ar"/>
        </w:rPr>
        <w:t>围绕协同推进降碳、减污、扩绿、增长，促进绿色低碳发展，开展科技咨询，提出生态文明基础制度建设和政策保障机制建议；针对极端自然灾害防灾减灾救灾，提出科学解决方案。</w:t>
      </w:r>
    </w:p>
    <w:p w14:paraId="7AFB41B4">
      <w:pPr>
        <w:spacing w:line="560" w:lineRule="exact"/>
        <w:ind w:right="59" w:rightChars="31" w:firstLine="603" w:firstLineChars="200"/>
        <w:jc w:val="both"/>
        <w:rPr>
          <w:rFonts w:hint="eastAsia" w:ascii="仿宋_GB2312" w:eastAsia="仿宋_GB2312"/>
          <w:color w:val="000000"/>
          <w:sz w:val="32"/>
          <w:szCs w:val="24"/>
          <w:lang w:val="en-US" w:eastAsia="zh-CN"/>
        </w:rPr>
      </w:pPr>
      <w:r>
        <w:rPr>
          <w:rFonts w:hint="eastAsia" w:ascii="仿宋_GB2312" w:eastAsia="仿宋_GB2312"/>
          <w:b/>
          <w:bCs/>
          <w:color w:val="000000"/>
          <w:sz w:val="32"/>
          <w:szCs w:val="32"/>
          <w:lang w:val="en-US" w:eastAsia="zh-CN" w:bidi="ar"/>
        </w:rPr>
        <w:t>4. 国家安全治理。</w:t>
      </w:r>
      <w:r>
        <w:rPr>
          <w:rFonts w:hint="eastAsia" w:ascii="仿宋_GB2312" w:eastAsia="仿宋_GB2312"/>
          <w:color w:val="000000"/>
          <w:sz w:val="32"/>
          <w:szCs w:val="32"/>
          <w:lang w:val="en-US" w:eastAsia="zh-CN" w:bidi="ar"/>
        </w:rPr>
        <w:t>贯彻总体国家安全观，围绕科技安全、粮食安全、生态安全、资源安全、生物安全、人工智能安全、网络安全、数据安全等领域，研判科技创新与应用带来的安全风险，提出防范国家安全风险的科技解决方案与对策建议。</w:t>
      </w:r>
    </w:p>
    <w:p w14:paraId="46411647">
      <w:pPr>
        <w:spacing w:line="560" w:lineRule="exact"/>
        <w:ind w:right="59" w:rightChars="31" w:firstLine="600" w:firstLineChars="200"/>
        <w:jc w:val="both"/>
        <w:rPr>
          <w:rFonts w:eastAsia="黑体"/>
          <w:color w:val="000000"/>
          <w:sz w:val="32"/>
          <w:szCs w:val="32"/>
          <w:lang w:val="en-US" w:eastAsia="zh-CN" w:bidi="ar"/>
        </w:rPr>
      </w:pPr>
      <w:r>
        <w:rPr>
          <w:rFonts w:hint="eastAsia" w:eastAsia="黑体"/>
          <w:color w:val="000000"/>
          <w:sz w:val="32"/>
          <w:szCs w:val="32"/>
          <w:lang w:val="en-US" w:eastAsia="zh-CN" w:bidi="ar"/>
        </w:rPr>
        <w:t>二、科技发展</w:t>
      </w:r>
    </w:p>
    <w:p w14:paraId="2BE627DF">
      <w:pPr>
        <w:spacing w:line="560" w:lineRule="exact"/>
        <w:ind w:right="59" w:rightChars="31" w:firstLine="600" w:firstLineChars="200"/>
        <w:jc w:val="both"/>
        <w:rPr>
          <w:rFonts w:hint="eastAsia" w:ascii="仿宋_GB2312" w:eastAsia="仿宋_GB2312"/>
          <w:color w:val="000000"/>
          <w:sz w:val="32"/>
          <w:szCs w:val="32"/>
          <w:lang w:val="en-US" w:eastAsia="zh-CN"/>
        </w:rPr>
      </w:pPr>
      <w:r>
        <w:rPr>
          <w:rFonts w:hint="eastAsia" w:ascii="仿宋_GB2312" w:eastAsia="仿宋_GB2312"/>
          <w:color w:val="000000"/>
          <w:sz w:val="32"/>
          <w:szCs w:val="24"/>
          <w:lang w:val="en-US" w:eastAsia="zh-CN" w:bidi="ar"/>
        </w:rPr>
        <w:t>着眼科学研究向极宏观拓展、向极微观深入、向极端条件迈进、向极综合交叉发力的发展态势，围绕</w:t>
      </w:r>
      <w:r>
        <w:rPr>
          <w:rFonts w:hint="eastAsia" w:ascii="仿宋_GB2312" w:eastAsia="仿宋_GB2312"/>
          <w:color w:val="000000"/>
          <w:sz w:val="32"/>
          <w:szCs w:val="32"/>
          <w:lang w:val="en-US" w:eastAsia="zh-CN" w:bidi="ar"/>
        </w:rPr>
        <w:t>基础研究、交叉前沿等对国家发展具有重大影响的科技领域，聚焦</w:t>
      </w:r>
      <w:r>
        <w:rPr>
          <w:rFonts w:hint="eastAsia" w:ascii="仿宋_GB2312" w:eastAsia="仿宋_GB2312"/>
          <w:color w:val="000000"/>
          <w:sz w:val="32"/>
          <w:szCs w:val="24"/>
          <w:lang w:val="en-US" w:eastAsia="zh-CN" w:bidi="ar"/>
        </w:rPr>
        <w:t>关键共性技术、前沿引领技术、现代工程技术、颠覆性技术等变革性技术，研判科技发展关键问题、前沿方向和趋势</w:t>
      </w:r>
      <w:r>
        <w:rPr>
          <w:rFonts w:hint="eastAsia" w:ascii="仿宋_GB2312" w:eastAsia="仿宋_GB2312"/>
          <w:color w:val="000000"/>
          <w:sz w:val="32"/>
          <w:szCs w:val="32"/>
          <w:lang w:val="en-US" w:eastAsia="zh-CN" w:bidi="ar"/>
        </w:rPr>
        <w:t>，提出促进科技发展的对策建议，服务高水平科技自立自强和实现高质量发展。</w:t>
      </w:r>
    </w:p>
    <w:p w14:paraId="47F022B2">
      <w:pPr>
        <w:spacing w:line="560" w:lineRule="exact"/>
        <w:ind w:right="59" w:rightChars="31" w:firstLine="603" w:firstLineChars="200"/>
        <w:jc w:val="both"/>
        <w:rPr>
          <w:rFonts w:hint="eastAsia" w:ascii="仿宋_GB2312" w:eastAsia="仿宋_GB2312"/>
          <w:color w:val="000000"/>
          <w:sz w:val="32"/>
          <w:szCs w:val="32"/>
          <w:lang w:val="en-US" w:eastAsia="zh-CN"/>
        </w:rPr>
      </w:pPr>
      <w:r>
        <w:rPr>
          <w:rFonts w:hint="eastAsia" w:ascii="仿宋_GB2312" w:eastAsia="仿宋_GB2312"/>
          <w:b/>
          <w:bCs/>
          <w:color w:val="000000"/>
          <w:sz w:val="32"/>
          <w:szCs w:val="32"/>
          <w:lang w:val="en-US" w:eastAsia="zh-CN" w:bidi="ar"/>
        </w:rPr>
        <w:t>1. 前瞻科技发展方向。</w:t>
      </w:r>
      <w:r>
        <w:rPr>
          <w:rFonts w:hint="eastAsia" w:ascii="仿宋_GB2312" w:eastAsia="仿宋_GB2312"/>
          <w:color w:val="000000"/>
          <w:sz w:val="32"/>
          <w:szCs w:val="32"/>
          <w:lang w:val="en-US" w:eastAsia="zh-CN" w:bidi="ar"/>
        </w:rPr>
        <w:t>科学研判新一轮科技革命和产业变革趋势特点，围绕新一代信息技术、人工智能、量子科技、生物科技、新能源、新材料等具有战略性、引领性、颠覆性和不确定性的科技领域，开展科技发展前沿态势与风险研判，为国家发展战略提供科技决策支撑。</w:t>
      </w:r>
    </w:p>
    <w:p w14:paraId="35B02505">
      <w:pPr>
        <w:spacing w:line="560" w:lineRule="exact"/>
        <w:ind w:right="59" w:rightChars="31" w:firstLine="603" w:firstLineChars="200"/>
        <w:jc w:val="both"/>
        <w:rPr>
          <w:rFonts w:hint="eastAsia" w:ascii="仿宋_GB2312" w:eastAsia="仿宋_GB2312"/>
          <w:color w:val="000000"/>
          <w:sz w:val="32"/>
          <w:szCs w:val="32"/>
          <w:lang w:val="en-US" w:eastAsia="zh-CN"/>
        </w:rPr>
      </w:pPr>
      <w:r>
        <w:rPr>
          <w:rFonts w:hint="eastAsia" w:ascii="仿宋_GB2312" w:eastAsia="仿宋_GB2312"/>
          <w:b/>
          <w:bCs/>
          <w:color w:val="000000"/>
          <w:sz w:val="32"/>
          <w:szCs w:val="32"/>
          <w:lang w:val="en-US" w:eastAsia="zh-CN" w:bidi="ar"/>
        </w:rPr>
        <w:t>2. 研判突破“卡脖子”技术攻关方向。</w:t>
      </w:r>
      <w:r>
        <w:rPr>
          <w:rFonts w:hint="eastAsia" w:ascii="仿宋_GB2312" w:eastAsia="仿宋_GB2312"/>
          <w:color w:val="000000"/>
          <w:sz w:val="32"/>
          <w:szCs w:val="32"/>
          <w:lang w:val="en-US" w:eastAsia="zh-CN" w:bidi="ar"/>
        </w:rPr>
        <w:t>聚焦集成电路、工业母机、基础软件、先进材料、科研仪器、核心种源等瓶颈制约，开展关键技术研判，提出技术突破路径和政策保障机制建议。</w:t>
      </w:r>
    </w:p>
    <w:p w14:paraId="3604D7A9">
      <w:pPr>
        <w:spacing w:line="560" w:lineRule="exact"/>
        <w:ind w:right="59" w:rightChars="31" w:firstLine="603" w:firstLineChars="200"/>
        <w:jc w:val="both"/>
        <w:rPr>
          <w:rFonts w:hint="eastAsia" w:ascii="仿宋_GB2312" w:eastAsia="仿宋_GB2312"/>
          <w:color w:val="000000"/>
          <w:sz w:val="32"/>
          <w:szCs w:val="32"/>
          <w:lang w:val="en-US" w:eastAsia="zh-CN"/>
        </w:rPr>
      </w:pPr>
      <w:r>
        <w:rPr>
          <w:rFonts w:hint="eastAsia" w:ascii="仿宋_GB2312" w:eastAsia="仿宋_GB2312"/>
          <w:b/>
          <w:bCs/>
          <w:color w:val="000000"/>
          <w:sz w:val="32"/>
          <w:szCs w:val="32"/>
          <w:lang w:val="en-US" w:eastAsia="zh-CN" w:bidi="ar"/>
        </w:rPr>
        <w:t>3. 研判关键共性技术。</w:t>
      </w:r>
      <w:r>
        <w:rPr>
          <w:rFonts w:hint="eastAsia" w:ascii="仿宋_GB2312" w:eastAsia="仿宋_GB2312"/>
          <w:color w:val="000000"/>
          <w:sz w:val="32"/>
          <w:szCs w:val="32"/>
          <w:lang w:val="en-US" w:eastAsia="zh-CN" w:bidi="ar"/>
        </w:rPr>
        <w:t>围绕经济竞争力的核心关键、社会发展的瓶颈制约、国家安全的重大挑战，研判涉及整个或多个产业发展的共性关键技术，提出推动关键共性技术创新和应用的对策建议。</w:t>
      </w:r>
    </w:p>
    <w:p w14:paraId="3C847832">
      <w:pPr>
        <w:spacing w:line="560" w:lineRule="exact"/>
        <w:ind w:right="59" w:rightChars="31" w:firstLine="600" w:firstLineChars="200"/>
        <w:jc w:val="both"/>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bidi="ar"/>
        </w:rPr>
        <w:t xml:space="preserve">4. </w:t>
      </w:r>
      <w:r>
        <w:rPr>
          <w:rFonts w:hint="eastAsia" w:ascii="仿宋_GB2312" w:eastAsia="仿宋_GB2312"/>
          <w:b/>
          <w:bCs/>
          <w:color w:val="000000"/>
          <w:sz w:val="32"/>
          <w:szCs w:val="32"/>
          <w:lang w:val="en-US" w:eastAsia="zh-CN" w:bidi="ar"/>
        </w:rPr>
        <w:t>破解现代工程科技难题。</w:t>
      </w:r>
      <w:r>
        <w:rPr>
          <w:rFonts w:hint="eastAsia" w:ascii="仿宋_GB2312" w:eastAsia="仿宋_GB2312"/>
          <w:color w:val="000000"/>
          <w:sz w:val="32"/>
          <w:szCs w:val="32"/>
          <w:lang w:val="en-US" w:eastAsia="zh-CN" w:bidi="ar"/>
        </w:rPr>
        <w:t>围绕农业、交通、航空航天、水利、能源、信息、环保等重大工程建设需求，开展咨询研究，研判关键基础科学技术难题，提出促进现代工程科技发展的对策建议。</w:t>
      </w:r>
    </w:p>
    <w:p w14:paraId="7612E42B">
      <w:pPr>
        <w:spacing w:line="560" w:lineRule="exact"/>
        <w:ind w:right="59" w:rightChars="31" w:firstLine="600" w:firstLineChars="200"/>
        <w:jc w:val="both"/>
        <w:rPr>
          <w:rFonts w:eastAsia="黑体"/>
          <w:color w:val="000000"/>
          <w:sz w:val="32"/>
          <w:szCs w:val="32"/>
          <w:lang w:val="en-US" w:eastAsia="zh-CN" w:bidi="ar"/>
        </w:rPr>
      </w:pPr>
      <w:r>
        <w:rPr>
          <w:rFonts w:hint="eastAsia" w:eastAsia="黑体"/>
          <w:color w:val="000000"/>
          <w:sz w:val="32"/>
          <w:szCs w:val="32"/>
          <w:lang w:val="en-US" w:eastAsia="zh-CN" w:bidi="ar"/>
        </w:rPr>
        <w:t>三、科技治理</w:t>
      </w:r>
    </w:p>
    <w:p w14:paraId="30BAC9C2">
      <w:pPr>
        <w:spacing w:line="560" w:lineRule="exact"/>
        <w:ind w:right="59" w:rightChars="31" w:firstLine="600" w:firstLineChars="200"/>
        <w:jc w:val="both"/>
        <w:rPr>
          <w:rFonts w:hint="eastAsia" w:ascii="仿宋_GB2312" w:eastAsia="仿宋_GB2312"/>
          <w:color w:val="000000"/>
          <w:sz w:val="32"/>
          <w:szCs w:val="32"/>
          <w:lang w:val="en-US" w:eastAsia="zh-CN"/>
        </w:rPr>
      </w:pPr>
      <w:r>
        <w:rPr>
          <w:rFonts w:hint="eastAsia" w:ascii="仿宋_GB2312" w:eastAsia="仿宋_GB2312"/>
          <w:color w:val="000000"/>
          <w:sz w:val="32"/>
          <w:szCs w:val="24"/>
          <w:lang w:val="en-US" w:eastAsia="zh-CN" w:bidi="ar"/>
        </w:rPr>
        <w:t>围绕科技治理体系建设和治理能力现代化，</w:t>
      </w:r>
      <w:bookmarkStart w:id="0" w:name="_GoBack"/>
      <w:bookmarkEnd w:id="0"/>
      <w:r>
        <w:rPr>
          <w:rFonts w:hint="eastAsia" w:ascii="仿宋_GB2312" w:eastAsia="仿宋_GB2312"/>
          <w:color w:val="000000"/>
          <w:sz w:val="32"/>
          <w:szCs w:val="24"/>
          <w:lang w:val="en-US" w:eastAsia="zh-CN" w:bidi="ar"/>
        </w:rPr>
        <w:t>聚焦</w:t>
      </w:r>
      <w:r>
        <w:rPr>
          <w:rFonts w:hint="eastAsia" w:ascii="仿宋_GB2312" w:eastAsia="仿宋_GB2312"/>
          <w:color w:val="000000"/>
          <w:sz w:val="32"/>
          <w:szCs w:val="32"/>
          <w:lang w:val="en-US" w:eastAsia="zh-CN" w:bidi="ar"/>
        </w:rPr>
        <w:t>教育、科技、人才一体化改革，</w:t>
      </w:r>
      <w:r>
        <w:rPr>
          <w:rFonts w:hint="eastAsia" w:ascii="仿宋_GB2312" w:eastAsia="仿宋_GB2312"/>
          <w:color w:val="000000"/>
          <w:sz w:val="32"/>
          <w:szCs w:val="24"/>
          <w:lang w:val="en-US" w:eastAsia="zh-CN" w:bidi="ar"/>
        </w:rPr>
        <w:t>找准科技创新体制机制改革突破关键点，</w:t>
      </w:r>
      <w:r>
        <w:rPr>
          <w:rFonts w:hint="eastAsia" w:ascii="仿宋_GB2312" w:eastAsia="仿宋_GB2312"/>
          <w:color w:val="000000"/>
          <w:sz w:val="32"/>
          <w:szCs w:val="32"/>
          <w:lang w:val="en-US" w:eastAsia="zh-CN" w:bidi="ar"/>
        </w:rPr>
        <w:t>提出</w:t>
      </w:r>
      <w:r>
        <w:rPr>
          <w:rFonts w:hint="eastAsia" w:ascii="仿宋_GB2312" w:eastAsia="仿宋_GB2312"/>
          <w:color w:val="000000"/>
          <w:sz w:val="32"/>
          <w:szCs w:val="24"/>
          <w:lang w:val="en-US" w:eastAsia="zh-CN" w:bidi="ar"/>
        </w:rPr>
        <w:t>有利于深化科技体制改革的</w:t>
      </w:r>
      <w:r>
        <w:rPr>
          <w:rFonts w:hint="eastAsia" w:ascii="仿宋_GB2312" w:eastAsia="仿宋_GB2312"/>
          <w:color w:val="000000"/>
          <w:sz w:val="32"/>
          <w:szCs w:val="32"/>
          <w:lang w:val="en-US" w:eastAsia="zh-CN" w:bidi="ar"/>
        </w:rPr>
        <w:t>建议，服务国家创新体系整体效能提升。</w:t>
      </w:r>
    </w:p>
    <w:p w14:paraId="371AF183">
      <w:pPr>
        <w:spacing w:line="560" w:lineRule="exact"/>
        <w:ind w:right="59" w:rightChars="31" w:firstLine="603" w:firstLineChars="200"/>
        <w:jc w:val="both"/>
        <w:rPr>
          <w:rFonts w:hint="eastAsia" w:ascii="仿宋_GB2312" w:eastAsia="仿宋_GB2312"/>
          <w:color w:val="000000"/>
          <w:sz w:val="32"/>
          <w:szCs w:val="24"/>
          <w:lang w:val="en-US" w:eastAsia="zh-CN"/>
        </w:rPr>
      </w:pPr>
      <w:r>
        <w:rPr>
          <w:rFonts w:hint="eastAsia" w:ascii="仿宋_GB2312" w:eastAsia="仿宋_GB2312"/>
          <w:b/>
          <w:bCs/>
          <w:color w:val="000000"/>
          <w:sz w:val="32"/>
          <w:szCs w:val="24"/>
          <w:lang w:val="en-US" w:eastAsia="zh-CN" w:bidi="ar"/>
        </w:rPr>
        <w:t>1. 科技现代化。</w:t>
      </w:r>
      <w:r>
        <w:rPr>
          <w:rFonts w:hint="eastAsia" w:ascii="仿宋_GB2312" w:eastAsia="仿宋_GB2312"/>
          <w:color w:val="000000"/>
          <w:sz w:val="32"/>
          <w:szCs w:val="24"/>
          <w:lang w:val="en-US" w:eastAsia="zh-CN" w:bidi="ar"/>
        </w:rPr>
        <w:t>围绕健全新型举国体制、加强有组织的基础研究、强化国家战略科技力量建设和企业创新主体地位、优化科技计划管理制度与创新组织机制、统筹各类创新平台建设、建设高水平科技人才队伍、完善财政科技经费分配与管理使用机制、推进科技评价体系改革、持续优化</w:t>
      </w:r>
      <w:r>
        <w:rPr>
          <w:rFonts w:hint="eastAsia" w:ascii="仿宋_GB2312" w:eastAsia="仿宋_GB2312"/>
          <w:color w:val="000000"/>
          <w:sz w:val="32"/>
          <w:szCs w:val="32"/>
          <w:lang w:val="en-US" w:eastAsia="zh-CN" w:bidi="ar"/>
        </w:rPr>
        <w:t>科研生态</w:t>
      </w:r>
      <w:r>
        <w:rPr>
          <w:rFonts w:hint="eastAsia" w:ascii="仿宋_GB2312" w:eastAsia="仿宋_GB2312"/>
          <w:color w:val="000000"/>
          <w:sz w:val="32"/>
          <w:szCs w:val="24"/>
          <w:lang w:val="en-US" w:eastAsia="zh-CN" w:bidi="ar"/>
        </w:rPr>
        <w:t>等方面开展咨询研究，为加快实现科技现代化提出对策建议。</w:t>
      </w:r>
    </w:p>
    <w:p w14:paraId="2ADA29C7">
      <w:pPr>
        <w:spacing w:line="560" w:lineRule="exact"/>
        <w:ind w:right="59" w:rightChars="31" w:firstLine="603" w:firstLineChars="200"/>
        <w:jc w:val="both"/>
        <w:rPr>
          <w:rFonts w:hint="eastAsia" w:ascii="仿宋_GB2312" w:eastAsia="仿宋_GB2312"/>
          <w:color w:val="000000"/>
          <w:sz w:val="32"/>
          <w:szCs w:val="24"/>
          <w:lang w:val="en-US" w:eastAsia="zh-CN"/>
        </w:rPr>
      </w:pPr>
      <w:r>
        <w:rPr>
          <w:rFonts w:hint="eastAsia" w:ascii="仿宋_GB2312" w:eastAsia="仿宋_GB2312"/>
          <w:b/>
          <w:bCs/>
          <w:color w:val="000000"/>
          <w:sz w:val="32"/>
          <w:szCs w:val="24"/>
          <w:lang w:val="en-US" w:eastAsia="zh-CN" w:bidi="ar"/>
        </w:rPr>
        <w:t>2. 四链融合。</w:t>
      </w:r>
      <w:r>
        <w:rPr>
          <w:rFonts w:hint="eastAsia" w:ascii="仿宋_GB2312" w:eastAsia="仿宋_GB2312"/>
          <w:color w:val="000000"/>
          <w:sz w:val="32"/>
          <w:szCs w:val="24"/>
          <w:lang w:val="en-US" w:eastAsia="zh-CN" w:bidi="ar"/>
        </w:rPr>
        <w:t>围绕创新链产业链资金链人才链深度融合，提出促进科技创新与产业创新深度融合的科技人才引培留用机制、科技金融体制、科技成果转化机制与转化收益分配制度等对策建议。</w:t>
      </w:r>
    </w:p>
    <w:p w14:paraId="70684DBA">
      <w:pPr>
        <w:spacing w:line="560" w:lineRule="exact"/>
        <w:ind w:firstLine="420"/>
        <w:jc w:val="both"/>
        <w:rPr>
          <w:rFonts w:hint="eastAsia" w:ascii="仿宋_GB2312" w:eastAsia="仿宋_GB2312"/>
          <w:lang w:val="en-US" w:eastAsia="zh-CN"/>
        </w:rPr>
      </w:pPr>
      <w:r>
        <w:rPr>
          <w:rFonts w:hint="eastAsia" w:ascii="仿宋_GB2312" w:eastAsia="仿宋_GB2312"/>
          <w:b/>
          <w:bCs/>
          <w:color w:val="000000"/>
          <w:sz w:val="32"/>
          <w:szCs w:val="24"/>
          <w:lang w:val="en-US" w:eastAsia="zh-CN" w:bidi="ar"/>
        </w:rPr>
        <w:t>3. 全球科技治理。</w:t>
      </w:r>
      <w:r>
        <w:rPr>
          <w:rFonts w:hint="eastAsia" w:ascii="仿宋_GB2312" w:eastAsia="仿宋_GB2312"/>
          <w:color w:val="000000"/>
          <w:sz w:val="32"/>
          <w:szCs w:val="24"/>
          <w:lang w:val="en-US" w:eastAsia="zh-CN" w:bidi="ar"/>
        </w:rPr>
        <w:t>围绕</w:t>
      </w:r>
      <w:r>
        <w:rPr>
          <w:rFonts w:hint="eastAsia" w:ascii="仿宋_GB2312" w:eastAsia="仿宋_GB2312"/>
          <w:color w:val="000000"/>
          <w:sz w:val="32"/>
          <w:szCs w:val="32"/>
          <w:lang w:val="en-US" w:eastAsia="zh-CN" w:bidi="ar"/>
        </w:rPr>
        <w:t>精准</w:t>
      </w:r>
      <w:r>
        <w:rPr>
          <w:rFonts w:hint="eastAsia" w:ascii="仿宋_GB2312" w:eastAsia="仿宋_GB2312"/>
          <w:color w:val="000000"/>
          <w:sz w:val="32"/>
          <w:szCs w:val="24"/>
          <w:lang w:val="en-US" w:eastAsia="zh-CN" w:bidi="ar"/>
        </w:rPr>
        <w:t>推动国际科技合作、降低科技脱钩断链风险，提出融入全球创新网络、参与全球科技治理、打造开放国际科技发展环境等方面对策建议。</w:t>
      </w:r>
    </w:p>
    <w:p w14:paraId="6AB86DB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73591C"/>
    <w:rsid w:val="76735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pacing w:val="-10"/>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2025-01-18T13:33:00Z</dcterms:created>
  <dc:creator>张小新</dc:creator>
  <cp:lastModifiedBy>张小新</cp:lastModifiedBy>
  <dcterms:modified xsi:type="dcterms:W3CDTF">2025-01-18T13:34:04Z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49B1DB6A7C534ABA9AE87F15651406DF_11</vt:lpwstr>
  </property>
  <property fmtid="{D5CDD505-2E9C-101B-9397-08002B2CF9AE}" pid="4" name="KSOTemplateDocerSaveRecord">
    <vt:lpwstr>eyJoZGlkIjoiY2U5MmY4MjY1NWFmOWUzMjQyMWUyZWNlMjhmNTZkOWUiLCJ1c2VySWQiOiIzMDM2NTIyNjYifQ==</vt:lpwstr>
  </property>
</Properties>
</file>