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napToGrid w:val="0"/>
        <w:spacing w:line="360" w:lineRule="auto"/>
        <w:jc w:val="center"/>
        <w:rPr>
          <w:rFonts w:ascii="宋体" w:eastAsia="宋体" w:hAnsi="宋体" w:cs="宋体" w:hint="eastAsia"/>
          <w:b/>
          <w:bCs w:val="0"/>
          <w:sz w:val="44"/>
          <w:szCs w:val="44"/>
        </w:rPr>
      </w:pPr>
      <w:r>
        <w:rPr>
          <w:rFonts w:ascii="宋体" w:eastAsia="宋体" w:hAnsi="宋体" w:cs="宋体" w:hint="eastAsia"/>
          <w:b/>
          <w:bCs w:val="0"/>
          <w:sz w:val="44"/>
          <w:szCs w:val="44"/>
        </w:rPr>
        <w:t xml:space="preserve">202</w:t>
      </w:r>
      <w:r>
        <w:rPr>
          <w:rFonts w:ascii="宋体" w:eastAsia="宋体" w:hAnsi="宋体" w:cs="宋体" w:hint="eastAsia"/>
          <w:b/>
          <w:bCs w:val="0"/>
          <w:sz w:val="44"/>
          <w:szCs w:val="44"/>
          <w:lang w:val="en-US" w:eastAsia="zh-CN"/>
        </w:rPr>
        <w:t xml:space="preserve">6</w:t>
      </w:r>
      <w:r>
        <w:rPr>
          <w:rFonts w:ascii="宋体" w:eastAsia="宋体" w:hAnsi="宋体" w:cs="宋体" w:hint="eastAsia"/>
          <w:b/>
          <w:bCs w:val="0"/>
          <w:sz w:val="44"/>
          <w:szCs w:val="44"/>
        </w:rPr>
        <w:t xml:space="preserve">年度“全球共性挑战专项”</w:t>
      </w:r>
    </w:p>
    <w:p>
      <w:pPr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宋体" w:eastAsia="宋体" w:hAnsi="宋体" w:cs="宋体" w:hint="eastAsia"/>
          <w:b/>
          <w:bCs w:val="0"/>
          <w:sz w:val="44"/>
          <w:szCs w:val="44"/>
        </w:rPr>
        <w:t xml:space="preserve">合作建议征集指南</w:t>
      </w:r>
    </w:p>
    <w:p>
      <w:pPr>
        <w:snapToGrid w:val="0"/>
        <w:spacing w:line="360" w:lineRule="auto"/>
        <w:jc w:val="both"/>
        <w:rPr>
          <w:rFonts w:ascii="Times New Roman" w:eastAsia="华文中宋" w:hAnsi="Times New Roman" w:cs="Times New Roman"/>
          <w:b/>
          <w:sz w:val="44"/>
          <w:szCs w:val="44"/>
        </w:rPr>
      </w:pPr>
    </w:p>
    <w:p>
      <w:pPr>
        <w:numPr>
          <w:ilvl w:val="0"/>
          <w:numId w:val="3"/>
        </w:numPr>
        <w:snapToGrid w:val="0"/>
        <w:spacing w:line="360" w:lineRule="auto"/>
        <w:ind w:left="566"/>
        <w:jc w:val="both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  <w:lang w:eastAsia="zh-CN"/>
        </w:rPr>
        <w:t xml:space="preserve">项目</w:t>
      </w:r>
      <w:r>
        <w:rPr>
          <w:rFonts w:ascii="Times New Roman" w:eastAsia="黑体" w:hAnsi="Times New Roman" w:cs="Times New Roman"/>
          <w:b/>
          <w:sz w:val="32"/>
          <w:szCs w:val="32"/>
        </w:rPr>
        <w:t xml:space="preserve">定位</w:t>
      </w:r>
    </w:p>
    <w:p>
      <w:pPr>
        <w:snapToGrid w:val="0"/>
        <w:spacing w:line="360" w:lineRule="auto"/>
        <w:ind w:firstLine="640" w:firstLineChars="200"/>
        <w:jc w:val="both"/>
        <w:rPr>
          <w:rFonts w:ascii="仿宋" w:eastAsia="仿宋" w:hAnsi="仿宋" w:hint="eastAsia"/>
          <w:sz w:val="32"/>
        </w:rPr>
      </w:pPr>
      <w:r>
        <w:rPr>
          <w:rFonts w:ascii="仿宋" w:eastAsia="仿宋" w:hAnsi="仿宋" w:cs="仿宋" w:hint="eastAsia"/>
          <w:sz w:val="32"/>
          <w:lang w:val="en-US" w:eastAsia="zh-CN"/>
        </w:rPr>
        <w:t xml:space="preserve">为实现高水平科技自立自强，加强科技基础能力建设，积极主动融入全球科技网络，针对</w:t>
      </w:r>
      <w:r>
        <w:rPr>
          <w:rFonts w:ascii="仿宋" w:eastAsia="仿宋" w:hAnsi="仿宋" w:cs="仿宋" w:hint="eastAsia"/>
          <w:sz w:val="32"/>
          <w:szCs w:val="32"/>
        </w:rPr>
        <w:t xml:space="preserve">共性科学问题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、</w:t>
      </w:r>
      <w:r>
        <w:rPr>
          <w:rFonts w:ascii="仿宋" w:eastAsia="仿宋" w:hAnsi="仿宋" w:cs="仿宋" w:hint="eastAsia"/>
          <w:sz w:val="32"/>
          <w:szCs w:val="32"/>
        </w:rPr>
        <w:t xml:space="preserve">共性技术需求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开展</w:t>
      </w:r>
      <w:r>
        <w:rPr>
          <w:rFonts w:ascii="仿宋" w:eastAsia="仿宋" w:hAnsi="仿宋" w:cs="仿宋" w:hint="eastAsia"/>
          <w:sz w:val="32"/>
          <w:lang w:eastAsia="zh-CN"/>
        </w:rPr>
        <w:t xml:space="preserve">对外项目合作</w:t>
      </w:r>
      <w:r>
        <w:rPr>
          <w:rFonts w:ascii="仿宋" w:eastAsia="仿宋" w:hAnsi="仿宋" w:cs="仿宋" w:hint="eastAsia"/>
          <w:sz w:val="32"/>
        </w:rPr>
        <w:t xml:space="preserve">。</w:t>
      </w:r>
    </w:p>
    <w:p>
      <w:pPr>
        <w:pStyle w:val="ListParagraph"/>
        <w:numPr>
          <w:ilvl w:val="0"/>
          <w:numId w:val="4"/>
        </w:numPr>
        <w:snapToGrid w:val="0"/>
        <w:spacing w:before="240" w:line="360" w:lineRule="auto"/>
        <w:ind w:firstLineChars="0"/>
        <w:jc w:val="both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 xml:space="preserve">资助重点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  <w:lang w:eastAsia="zh-CN"/>
        </w:rPr>
        <w:t xml:space="preserve">助力</w:t>
      </w:r>
      <w:r>
        <w:rPr>
          <w:rFonts w:ascii="仿宋" w:eastAsia="仿宋" w:hAnsi="仿宋" w:cs="仿宋" w:hint="eastAsia"/>
          <w:sz w:val="32"/>
          <w:lang w:val="en-US" w:eastAsia="zh-CN"/>
        </w:rPr>
        <w:t xml:space="preserve">在抢占科技制高点上形成突破性态势，支持</w:t>
      </w:r>
      <w:r>
        <w:rPr>
          <w:rFonts w:ascii="仿宋" w:eastAsia="仿宋" w:hAnsi="仿宋" w:cs="仿宋" w:hint="eastAsia"/>
          <w:sz w:val="32"/>
        </w:rPr>
        <w:t xml:space="preserve">“</w:t>
      </w:r>
      <w:r>
        <w:rPr>
          <w:rFonts w:ascii="仿宋" w:eastAsia="仿宋" w:hAnsi="仿宋" w:cs="仿宋" w:hint="eastAsia"/>
          <w:sz w:val="32"/>
          <w:lang w:eastAsia="zh-CN"/>
        </w:rPr>
        <w:t xml:space="preserve">需求牵引、</w:t>
      </w:r>
      <w:r>
        <w:rPr>
          <w:rFonts w:ascii="仿宋" w:eastAsia="仿宋" w:hAnsi="仿宋" w:cs="仿宋" w:hint="eastAsia"/>
          <w:sz w:val="32"/>
        </w:rPr>
        <w:t xml:space="preserve">贡献导向</w:t>
      </w:r>
      <w:r>
        <w:rPr>
          <w:rFonts w:ascii="仿宋" w:eastAsia="仿宋" w:hAnsi="仿宋" w:cs="仿宋" w:hint="eastAsia"/>
          <w:sz w:val="32"/>
          <w:lang w:eastAsia="zh-CN"/>
        </w:rPr>
        <w:t xml:space="preserve">、</w:t>
      </w:r>
      <w:r>
        <w:rPr>
          <w:rFonts w:ascii="仿宋" w:eastAsia="仿宋" w:hAnsi="仿宋" w:cs="仿宋" w:hint="eastAsia"/>
          <w:sz w:val="32"/>
        </w:rPr>
        <w:t xml:space="preserve">成果落地”</w:t>
      </w:r>
      <w:r>
        <w:rPr>
          <w:rFonts w:ascii="仿宋" w:eastAsia="仿宋" w:hAnsi="仿宋" w:cs="仿宋" w:hint="eastAsia"/>
          <w:sz w:val="32"/>
          <w:lang w:eastAsia="zh-CN"/>
        </w:rPr>
        <w:t xml:space="preserve">的实质性</w:t>
      </w:r>
      <w:r>
        <w:rPr>
          <w:rFonts w:ascii="仿宋" w:eastAsia="仿宋" w:hAnsi="仿宋" w:cs="仿宋" w:hint="eastAsia"/>
          <w:sz w:val="32"/>
        </w:rPr>
        <w:t xml:space="preserve">国际合作及港澳台合作</w:t>
      </w:r>
      <w:r>
        <w:rPr>
          <w:rFonts w:ascii="仿宋" w:eastAsia="仿宋" w:hAnsi="仿宋" w:cs="仿宋" w:hint="eastAsia"/>
          <w:sz w:val="32"/>
          <w:lang w:eastAsia="zh-CN"/>
        </w:rPr>
        <w:t xml:space="preserve">。</w:t>
      </w:r>
      <w:r>
        <w:rPr>
          <w:rFonts w:ascii="仿宋" w:eastAsia="仿宋" w:hAnsi="仿宋" w:cs="仿宋" w:hint="eastAsia"/>
          <w:sz w:val="32"/>
        </w:rPr>
        <w:t xml:space="preserve">突出中国科学院在国家科技创新体系中的国际合作优势</w:t>
      </w:r>
      <w:r>
        <w:rPr>
          <w:rFonts w:ascii="仿宋" w:eastAsia="仿宋" w:hAnsi="仿宋" w:cs="仿宋" w:hint="eastAsia"/>
          <w:sz w:val="32"/>
          <w:lang w:eastAsia="zh-CN"/>
        </w:rPr>
        <w:t xml:space="preserve">。</w:t>
      </w:r>
      <w:r>
        <w:rPr>
          <w:rFonts w:ascii="仿宋" w:eastAsia="仿宋" w:hAnsi="仿宋" w:cs="仿宋" w:hint="eastAsia"/>
          <w:sz w:val="32"/>
          <w:lang w:val="en-US" w:eastAsia="zh-CN"/>
        </w:rPr>
        <w:t xml:space="preserve">鼓励青年科研骨干承担重大国际合作任务。</w:t>
      </w:r>
      <w:r>
        <w:rPr>
          <w:rFonts w:ascii="仿宋" w:eastAsia="仿宋" w:hAnsi="仿宋" w:cs="仿宋" w:hint="eastAsia"/>
          <w:sz w:val="32"/>
          <w:lang w:eastAsia="zh-CN"/>
        </w:rPr>
        <w:t xml:space="preserve">重点资助开展以下对外</w:t>
      </w:r>
      <w:r>
        <w:rPr>
          <w:rFonts w:ascii="仿宋" w:eastAsia="仿宋" w:hAnsi="仿宋" w:cs="仿宋" w:hint="eastAsia"/>
          <w:sz w:val="32"/>
        </w:rPr>
        <w:t xml:space="preserve">合作：</w:t>
      </w:r>
    </w:p>
    <w:p>
      <w:pPr>
        <w:ind w:firstLine="648"/>
        <w:jc w:val="both"/>
        <w:rPr>
          <w:rFonts w:ascii="仿宋_GB2312" w:eastAsia="仿宋_GB2312" w:hAnsi="等线" w:hAnsiTheme="minorEastAsia" w:hint="eastAsia"/>
          <w:b/>
          <w:sz w:val="32"/>
          <w:szCs w:val="32"/>
          <w:lang w:eastAsia="zh-CN"/>
        </w:rPr>
      </w:pPr>
      <w:r>
        <w:rPr>
          <w:rFonts w:ascii="仿宋_GB2312" w:eastAsia="仿宋_GB2312" w:hAnsi="等线" w:hAnsiTheme="minorEastAsia" w:hint="eastAsia"/>
          <w:b/>
          <w:sz w:val="32"/>
          <w:szCs w:val="32"/>
        </w:rPr>
        <w:t xml:space="preserve">1、</w:t>
      </w:r>
      <w:r>
        <w:rPr>
          <w:rFonts w:ascii="仿宋_GB2312" w:eastAsia="仿宋_GB2312" w:hAnsi="等线" w:hAnsiTheme="minorEastAsia" w:hint="eastAsia"/>
          <w:b/>
          <w:sz w:val="32"/>
          <w:szCs w:val="32"/>
          <w:lang w:eastAsia="zh-CN"/>
        </w:rPr>
        <w:t xml:space="preserve">聚力</w:t>
      </w:r>
      <w:r>
        <w:rPr>
          <w:rFonts w:ascii="仿宋" w:eastAsia="仿宋" w:hAnsi="仿宋" w:cs="仿宋" w:hint="eastAsia"/>
          <w:b/>
          <w:bCs w:val="0"/>
          <w:color w:val="auto"/>
          <w:sz w:val="32"/>
          <w:szCs w:val="32"/>
          <w:lang w:val="en-US" w:eastAsia="zh-CN"/>
        </w:rPr>
        <w:t xml:space="preserve">原始创新</w:t>
      </w:r>
    </w:p>
    <w:p>
      <w:pPr>
        <w:ind w:firstLine="648"/>
        <w:jc w:val="both"/>
        <w:rPr>
          <w:rFonts w:ascii="仿宋_GB2312" w:eastAsia="仿宋_GB2312" w:hAnsi="等线" w:hAnsiTheme="minorEastAsia" w:hint="eastAsia"/>
          <w:sz w:val="32"/>
          <w:szCs w:val="32"/>
        </w:rPr>
      </w:pPr>
      <w:r>
        <w:rPr>
          <w:rFonts w:ascii="仿宋_GB2312" w:eastAsia="仿宋_GB2312" w:hAnsi="等线" w:hAnsiTheme="minorEastAsia" w:hint="eastAsia"/>
          <w:sz w:val="32"/>
          <w:szCs w:val="32"/>
          <w:lang w:eastAsia="zh-CN"/>
        </w:rPr>
        <w:t xml:space="preserve">围绕</w:t>
      </w:r>
      <w:r>
        <w:rPr>
          <w:rFonts w:ascii="仿宋_GB2312" w:eastAsia="仿宋_GB2312" w:hAnsi="等线" w:hAnsiTheme="minorEastAsia"/>
          <w:sz w:val="32"/>
          <w:szCs w:val="32"/>
        </w:rPr>
        <w:t xml:space="preserve">共性</w:t>
      </w:r>
      <w:r>
        <w:rPr>
          <w:rFonts w:ascii="仿宋_GB2312" w:eastAsia="仿宋_GB2312" w:hAnsi="等线" w:hAnsiTheme="minorEastAsia" w:hint="eastAsia"/>
          <w:sz w:val="32"/>
          <w:szCs w:val="32"/>
        </w:rPr>
        <w:t xml:space="preserve">科学问题的合作</w:t>
      </w:r>
      <w:r>
        <w:rPr>
          <w:rFonts w:ascii="仿宋_GB2312" w:eastAsia="仿宋_GB2312" w:hAnsi="等线" w:hAnsiTheme="minorEastAsia" w:hint="eastAsia"/>
          <w:sz w:val="32"/>
          <w:szCs w:val="32"/>
          <w:lang w:eastAsia="zh-CN"/>
        </w:rPr>
        <w:t xml:space="preserve">研究</w:t>
      </w:r>
      <w:r>
        <w:rPr>
          <w:rFonts w:ascii="仿宋_GB2312" w:eastAsia="仿宋_GB2312" w:hAnsi="等线" w:hAnsiTheme="minorEastAsia" w:hint="eastAsia"/>
          <w:sz w:val="32"/>
          <w:szCs w:val="32"/>
        </w:rPr>
        <w:t xml:space="preserve">； 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" w:eastAsia="仿宋" w:hAnsi="仿宋" w:cs="仿宋" w:hint="default"/>
          <w:b/>
          <w:bCs/>
          <w:sz w:val="32"/>
          <w:lang w:val="en-US" w:eastAsia="zh-CN"/>
        </w:rPr>
      </w:pPr>
      <w:r>
        <w:rPr>
          <w:rFonts w:ascii="仿宋_GB2312" w:eastAsia="仿宋_GB2312" w:hAnsi="等线" w:hAnsiTheme="minorEastAsia" w:hint="eastAsia"/>
          <w:sz w:val="32"/>
          <w:szCs w:val="32"/>
        </w:rPr>
        <w:t xml:space="preserve">面向共性</w:t>
      </w:r>
      <w:r>
        <w:rPr>
          <w:rFonts w:ascii="仿宋_GB2312" w:eastAsia="仿宋_GB2312" w:hAnsi="等线" w:hAnsiTheme="minorEastAsia"/>
          <w:sz w:val="32"/>
          <w:szCs w:val="32"/>
        </w:rPr>
        <w:t xml:space="preserve">技术</w:t>
      </w:r>
      <w:r>
        <w:rPr>
          <w:rFonts w:ascii="仿宋_GB2312" w:eastAsia="仿宋_GB2312" w:hAnsi="等线" w:hAnsiTheme="minorEastAsia" w:hint="eastAsia"/>
          <w:sz w:val="32"/>
          <w:szCs w:val="32"/>
        </w:rPr>
        <w:t xml:space="preserve">需求的合作</w:t>
      </w:r>
      <w:r>
        <w:rPr>
          <w:rFonts w:ascii="仿宋_GB2312" w:eastAsia="仿宋_GB2312" w:hAnsi="等线" w:hAnsiTheme="minorEastAsia" w:hint="eastAsia"/>
          <w:sz w:val="32"/>
          <w:szCs w:val="32"/>
          <w:lang w:eastAsia="zh-CN"/>
        </w:rPr>
        <w:t xml:space="preserve">研究</w:t>
      </w:r>
      <w:r>
        <w:rPr>
          <w:rFonts w:ascii="仿宋_GB2312" w:eastAsia="仿宋_GB2312" w:hAnsi="等线" w:hAnsiTheme="minorEastAsia" w:hint="eastAsia"/>
          <w:sz w:val="32"/>
          <w:szCs w:val="32"/>
        </w:rPr>
        <w:t xml:space="preserve">。</w:t>
      </w:r>
    </w:p>
    <w:p>
      <w:pPr>
        <w:tabs>
          <w:tab w:val="right" w:pos="8306"/>
        </w:tabs>
        <w:ind w:firstLine="640" w:firstLineChars="200"/>
        <w:jc w:val="both"/>
        <w:rPr>
          <w:rFonts w:ascii="仿宋" w:eastAsia="仿宋" w:hAnsi="仿宋" w:cs="仿宋" w:hint="eastAsia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2、</w:t>
      </w:r>
      <w:r>
        <w:rPr>
          <w:rFonts w:ascii="仿宋" w:eastAsia="仿宋" w:hAnsi="仿宋" w:cs="仿宋" w:hint="eastAsia"/>
          <w:b/>
          <w:bCs w:val="0"/>
          <w:color w:val="auto"/>
          <w:sz w:val="32"/>
          <w:szCs w:val="32"/>
          <w:lang w:val="en-US" w:eastAsia="zh-CN"/>
        </w:rPr>
        <w:t xml:space="preserve">抢占科技高地</w:t>
      </w:r>
    </w:p>
    <w:p>
      <w:pPr>
        <w:tabs>
          <w:tab w:val="right" w:pos="8306"/>
        </w:tabs>
        <w:ind w:firstLine="640" w:firstLineChars="20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面向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国家</w:t>
      </w:r>
      <w:r>
        <w:rPr>
          <w:rFonts w:ascii="仿宋" w:eastAsia="仿宋" w:hAnsi="仿宋" w:cs="仿宋" w:hint="eastAsia"/>
          <w:sz w:val="32"/>
          <w:szCs w:val="32"/>
        </w:rPr>
        <w:t xml:space="preserve">重大需求、重大任务，合作研发变革性技术、高技术产品（材料、器件、设备等）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、</w:t>
      </w:r>
      <w:r>
        <w:rPr>
          <w:rFonts w:ascii="仿宋" w:eastAsia="仿宋" w:hAnsi="仿宋" w:cs="仿宋" w:hint="eastAsia"/>
          <w:sz w:val="32"/>
          <w:szCs w:val="32"/>
        </w:rPr>
        <w:t xml:space="preserve">创新性科研条件平台。</w:t>
      </w:r>
    </w:p>
    <w:p>
      <w:pPr>
        <w:ind w:firstLine="648"/>
        <w:jc w:val="both"/>
        <w:rPr>
          <w:rFonts w:ascii="仿宋" w:eastAsia="仿宋" w:hAnsi="仿宋" w:cs="仿宋" w:hint="eastAsia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3、</w:t>
      </w: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 xml:space="preserve">落地</w:t>
      </w:r>
      <w:r>
        <w:rPr>
          <w:rFonts w:ascii="仿宋" w:eastAsia="仿宋" w:hAnsi="仿宋" w:cs="仿宋" w:hint="eastAsia"/>
          <w:b/>
          <w:color w:val="auto"/>
          <w:sz w:val="32"/>
          <w:szCs w:val="32"/>
          <w:lang w:eastAsia="zh-CN"/>
        </w:rPr>
        <w:t xml:space="preserve">民生</w:t>
      </w:r>
      <w:r>
        <w:rPr>
          <w:rFonts w:ascii="仿宋" w:eastAsia="仿宋" w:hAnsi="仿宋" w:cs="仿宋" w:hint="eastAsia"/>
          <w:b/>
          <w:color w:val="auto"/>
          <w:sz w:val="32"/>
          <w:szCs w:val="32"/>
        </w:rPr>
        <w:t xml:space="preserve">转化与服务</w:t>
      </w:r>
    </w:p>
    <w:p>
      <w:pPr>
        <w:ind w:firstLine="648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优先但不限于制造业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升级、</w:t>
      </w:r>
      <w:r>
        <w:rPr>
          <w:rFonts w:ascii="仿宋" w:eastAsia="仿宋" w:hAnsi="仿宋" w:cs="仿宋" w:hint="eastAsia"/>
          <w:sz w:val="32"/>
          <w:szCs w:val="32"/>
        </w:rPr>
        <w:t xml:space="preserve">农业、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医药健康</w:t>
      </w:r>
      <w:r>
        <w:rPr>
          <w:rFonts w:ascii="仿宋" w:eastAsia="仿宋" w:hAnsi="仿宋" w:cs="仿宋" w:hint="eastAsia"/>
          <w:sz w:val="32"/>
          <w:szCs w:val="32"/>
        </w:rPr>
        <w:t xml:space="preserve">的民生科技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合作</w:t>
      </w:r>
      <w:r>
        <w:rPr>
          <w:rFonts w:ascii="仿宋" w:eastAsia="仿宋" w:hAnsi="仿宋" w:cs="仿宋" w:hint="eastAsia"/>
          <w:sz w:val="32"/>
          <w:szCs w:val="32"/>
        </w:rPr>
        <w:t xml:space="preserve">转化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；</w:t>
      </w:r>
      <w:bookmarkStart w:id="0" w:name="_GoBack"/>
      <w:bookmarkEnd w:id="0"/>
    </w:p>
    <w:p>
      <w:pPr>
        <w:ind w:firstLine="648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在境内转化，合作外方须做出重要技术贡献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；</w:t>
      </w:r>
    </w:p>
    <w:p>
      <w:pPr>
        <w:ind w:firstLine="648"/>
        <w:jc w:val="both"/>
        <w:rPr>
          <w:rFonts w:ascii="仿宋_GB2312" w:eastAsia="仿宋_GB2312" w:hAnsi="等线" w:hAnsiTheme="minorEastAsia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在境外转化，合作外方须具有生产要素优势或/和市场优势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。</w:t>
      </w:r>
    </w:p>
    <w:p>
      <w:pPr>
        <w:snapToGrid w:val="0"/>
        <w:spacing w:before="240" w:line="360" w:lineRule="auto"/>
        <w:ind w:left="566"/>
        <w:jc w:val="both"/>
        <w:rPr>
          <w:rFonts w:ascii="Times New Roman" w:eastAsia="黑体" w:hAnsi="Times New Roman" w:cs="Times New Roman" w:hint="eastAsia"/>
          <w:b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 xml:space="preserve">三、</w:t>
      </w:r>
      <w:r>
        <w:rPr>
          <w:rFonts w:ascii="Times New Roman" w:eastAsia="黑体" w:hAnsi="Times New Roman" w:cs="Times New Roman" w:hint="eastAsia"/>
          <w:b/>
          <w:sz w:val="32"/>
          <w:szCs w:val="32"/>
          <w:lang w:eastAsia="zh-CN"/>
        </w:rPr>
        <w:t xml:space="preserve">申报条件</w:t>
      </w:r>
    </w:p>
    <w:p>
      <w:pPr>
        <w:snapToGrid w:val="0"/>
        <w:spacing w:line="360" w:lineRule="auto"/>
        <w:ind w:firstLine="566" w:firstLineChars="177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1、合作建议须精炼学术内容，重点描述合作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基础、合作</w:t>
      </w:r>
      <w:r>
        <w:rPr>
          <w:rFonts w:ascii="仿宋" w:eastAsia="仿宋" w:hAnsi="仿宋" w:cs="仿宋" w:hint="eastAsia"/>
          <w:sz w:val="32"/>
          <w:szCs w:val="32"/>
        </w:rPr>
        <w:t xml:space="preserve">方案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与产出；</w:t>
      </w:r>
    </w:p>
    <w:p>
      <w:pPr>
        <w:snapToGrid w:val="0"/>
        <w:spacing w:line="360" w:lineRule="auto"/>
        <w:ind w:firstLine="566" w:firstLineChars="177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2、合作负责人应为中国科学院在职全职科研人员，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具有副高级（含）以上专业技术职称，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且未承担其他在研的100万元及以上的中国科学院国际伙伴计划项目或“一带一路”国际科学组织联盟（ANSO）项目；</w:t>
      </w:r>
    </w:p>
    <w:p>
      <w:pPr>
        <w:snapToGrid w:val="0"/>
        <w:spacing w:line="360" w:lineRule="auto"/>
        <w:ind w:firstLine="640" w:firstLineChars="200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3、合作建议全年征集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。</w:t>
      </w:r>
      <w:r>
        <w:rPr>
          <w:rFonts w:ascii="仿宋" w:eastAsia="仿宋" w:hAnsi="仿宋" w:cs="仿宋" w:hint="eastAsia"/>
          <w:sz w:val="32"/>
          <w:szCs w:val="32"/>
        </w:rPr>
        <w:t xml:space="preserve">国际合作局将分批次开展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合作建议</w:t>
      </w:r>
      <w:r>
        <w:rPr>
          <w:rFonts w:ascii="仿宋" w:eastAsia="仿宋" w:hAnsi="仿宋" w:cs="仿宋" w:hint="eastAsia"/>
          <w:sz w:val="32"/>
          <w:szCs w:val="32"/>
        </w:rPr>
        <w:t xml:space="preserve">审核，并于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每年</w:t>
      </w:r>
      <w:r>
        <w:rPr>
          <w:rFonts w:ascii="仿宋" w:eastAsia="仿宋" w:hAnsi="仿宋" w:cs="仿宋" w:hint="eastAsia"/>
          <w:sz w:val="32"/>
          <w:szCs w:val="32"/>
        </w:rPr>
        <w:t xml:space="preserve">10月底完成下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一</w:t>
      </w:r>
      <w:r>
        <w:rPr>
          <w:rFonts w:ascii="仿宋" w:eastAsia="仿宋" w:hAnsi="仿宋" w:cs="仿宋" w:hint="eastAsia"/>
          <w:sz w:val="32"/>
          <w:szCs w:val="32"/>
        </w:rPr>
        <w:t xml:space="preserve">年度拟资助项目的遴选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、立项</w:t>
      </w:r>
      <w:r>
        <w:rPr>
          <w:rFonts w:ascii="仿宋" w:eastAsia="仿宋" w:hAnsi="仿宋" w:cs="仿宋" w:hint="eastAsia"/>
          <w:sz w:val="32"/>
          <w:szCs w:val="32"/>
        </w:rPr>
        <w:t xml:space="preserve">工作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；</w:t>
      </w:r>
    </w:p>
    <w:p>
      <w:pPr>
        <w:snapToGrid w:val="0"/>
        <w:spacing w:line="360" w:lineRule="auto"/>
        <w:ind w:firstLine="640" w:firstLineChars="200"/>
        <w:jc w:val="both"/>
        <w:rPr>
          <w:rFonts w:ascii="Times New Roman" w:eastAsia="仿宋" w:hAnsi="Times New Roman" w:cs="Times New Roman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4、院属单位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负责</w:t>
      </w:r>
      <w:r>
        <w:rPr>
          <w:rFonts w:ascii="仿宋" w:eastAsia="仿宋" w:hAnsi="仿宋" w:cs="仿宋" w:hint="eastAsia"/>
          <w:sz w:val="32"/>
          <w:szCs w:val="32"/>
        </w:rPr>
        <w:t xml:space="preserve">组织本单位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合作建议</w:t>
      </w:r>
      <w:r>
        <w:rPr>
          <w:rFonts w:ascii="仿宋" w:eastAsia="仿宋" w:hAnsi="仿宋" w:cs="仿宋" w:hint="eastAsia"/>
          <w:sz w:val="32"/>
          <w:szCs w:val="32"/>
        </w:rPr>
        <w:t xml:space="preserve">的征集，并通过ARP上报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国际合作局。院属单位应</w:t>
      </w:r>
      <w:r>
        <w:rPr>
          <w:rFonts w:ascii="仿宋" w:eastAsia="仿宋" w:hAnsi="仿宋" w:cs="仿宋" w:hint="eastAsia"/>
          <w:sz w:val="32"/>
          <w:szCs w:val="32"/>
        </w:rPr>
        <w:t xml:space="preserve">主动整合内容重复、合作对象重叠的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合作</w:t>
      </w:r>
      <w:r>
        <w:rPr>
          <w:rFonts w:ascii="仿宋" w:eastAsia="仿宋" w:hAnsi="仿宋" w:cs="仿宋" w:hint="eastAsia"/>
          <w:sz w:val="32"/>
          <w:szCs w:val="32"/>
        </w:rPr>
        <w:t xml:space="preserve">建议。对于扎堆提交“同质化”合作建议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，或反复通过拆组换人、更换合作外方提交</w:t>
      </w:r>
      <w:r>
        <w:rPr>
          <w:rFonts w:ascii="仿宋" w:eastAsia="仿宋" w:hAnsi="仿宋" w:cs="仿宋" w:hint="eastAsia"/>
          <w:sz w:val="32"/>
          <w:szCs w:val="32"/>
        </w:rPr>
        <w:t xml:space="preserve">“同质化”合作建议的院属单位，将暂停其上报资格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。</w:t>
      </w:r>
    </w:p>
    <w:p>
      <w:pPr>
        <w:snapToGrid w:val="0"/>
        <w:spacing w:before="240" w:line="360" w:lineRule="auto"/>
        <w:ind w:firstLine="646" w:firstLineChars="202"/>
        <w:jc w:val="both"/>
        <w:rPr>
          <w:rFonts w:ascii="Times New Roman" w:eastAsia="黑体" w:hAnsi="Times New Roman" w:cs="Times New Roman" w:hint="eastAsia"/>
          <w:b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 xml:space="preserve">四、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 xml:space="preserve">填报</w:t>
      </w:r>
      <w:r>
        <w:rPr>
          <w:rFonts w:ascii="Times New Roman" w:eastAsia="黑体" w:hAnsi="Times New Roman" w:cs="Times New Roman" w:hint="eastAsia"/>
          <w:b/>
          <w:sz w:val="32"/>
          <w:szCs w:val="32"/>
          <w:lang w:eastAsia="zh-CN"/>
        </w:rPr>
        <w:t xml:space="preserve">说明</w:t>
      </w:r>
    </w:p>
    <w:p>
      <w:pPr>
        <w:snapToGrid w:val="0"/>
        <w:spacing w:line="360" w:lineRule="auto"/>
        <w:ind w:firstLine="640" w:firstLineChars="20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登陆新一代ARP国际合作模块，点击“国际伙伴计划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u w:val="none"/>
        </w:rPr>
        <w:t xml:space="preserve">－</w:t>
      </w:r>
      <w:r>
        <w:rPr>
          <w:rFonts w:ascii="仿宋" w:eastAsia="仿宋" w:hAnsi="仿宋" w:cs="仿宋" w:hint="eastAsia"/>
          <w:sz w:val="32"/>
          <w:szCs w:val="32"/>
        </w:rPr>
        <w:t xml:space="preserve">项目建议书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u w:val="none"/>
        </w:rPr>
        <w:t xml:space="preserve">－</w:t>
      </w:r>
      <w:r>
        <w:rPr>
          <w:rFonts w:ascii="仿宋" w:eastAsia="仿宋" w:hAnsi="仿宋" w:cs="仿宋" w:hint="eastAsia"/>
          <w:sz w:val="32"/>
          <w:szCs w:val="32"/>
        </w:rPr>
        <w:t xml:space="preserve">新建”，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u w:val="none"/>
        </w:rPr>
        <w:t xml:space="preserve">完整填写“基本信息”及“建议书内容”页签下相关内容。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“项目类别”栏中选择</w:t>
      </w:r>
      <w:r>
        <w:rPr>
          <w:rFonts w:ascii="仿宋" w:eastAsia="仿宋" w:hAnsi="仿宋" w:cs="仿宋" w:hint="eastAsia"/>
          <w:b w:val="0"/>
          <w:bCs/>
          <w:sz w:val="32"/>
          <w:szCs w:val="32"/>
        </w:rPr>
        <w:t xml:space="preserve">“全球共性挑战专项”</w:t>
      </w:r>
      <w:r>
        <w:rPr>
          <w:rFonts w:ascii="仿宋" w:eastAsia="仿宋" w:hAnsi="仿宋" w:cs="仿宋" w:hint="eastAsia"/>
          <w:b w:val="0"/>
          <w:bCs/>
          <w:sz w:val="32"/>
          <w:szCs w:val="32"/>
          <w:lang w:eastAsia="zh-CN"/>
        </w:rPr>
        <w:t xml:space="preserve">，</w:t>
      </w:r>
      <w:r>
        <w:rPr>
          <w:rFonts w:ascii="仿宋" w:eastAsia="仿宋" w:hAnsi="仿宋" w:cs="仿宋" w:hint="eastAsia"/>
          <w:sz w:val="32"/>
          <w:szCs w:val="32"/>
        </w:rPr>
        <w:t xml:space="preserve">“项目执行期”栏中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项目开始时间应为</w:t>
      </w:r>
      <w:r>
        <w:rPr>
          <w:rFonts w:ascii="仿宋" w:eastAsia="仿宋" w:hAnsi="仿宋" w:cs="仿宋" w:hint="eastAsia"/>
          <w:sz w:val="32"/>
          <w:szCs w:val="32"/>
        </w:rPr>
        <w:t xml:space="preserve">202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6</w:t>
      </w:r>
      <w:r>
        <w:rPr>
          <w:rFonts w:ascii="仿宋" w:eastAsia="仿宋" w:hAnsi="仿宋" w:cs="仿宋" w:hint="eastAsia"/>
          <w:sz w:val="32"/>
          <w:szCs w:val="32"/>
        </w:rPr>
        <w:t xml:space="preserve">年1月。</w:t>
      </w: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multiLevelType w:val="multilevel"/>
    <w:lvl w:ilvl="0">
      <w:start w:val="2"/>
      <w:numFmt w:val="japaneseCounting"/>
      <w:suff w:val="tab"/>
      <w:lvlText w:val="%1、"/>
      <w:lvlJc w:val="left"/>
      <w:pPr>
        <w:ind w:left="1286" w:hanging="72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06" w:hanging="420"/>
      </w:pPr>
      <w:rPr/>
    </w:lvl>
    <w:lvl w:ilvl="2">
      <w:start w:val="1"/>
      <w:numFmt w:val="lowerRoman"/>
      <w:suff w:val="tab"/>
      <w:lvlText w:val="%3."/>
      <w:lvlJc w:val="right"/>
      <w:pPr>
        <w:ind w:left="1826" w:hanging="420"/>
      </w:pPr>
      <w:rPr/>
    </w:lvl>
    <w:lvl w:ilvl="3">
      <w:start w:val="1"/>
      <w:numFmt w:val="decimal"/>
      <w:suff w:val="tab"/>
      <w:lvlText w:val="%4."/>
      <w:lvlJc w:val="left"/>
      <w:pPr>
        <w:ind w:left="2246" w:hanging="420"/>
      </w:pPr>
      <w:rPr/>
    </w:lvl>
    <w:lvl w:ilvl="4">
      <w:start w:val="1"/>
      <w:numFmt w:val="lowerLetter"/>
      <w:suff w:val="tab"/>
      <w:lvlText w:val="%5)"/>
      <w:lvlJc w:val="left"/>
      <w:pPr>
        <w:ind w:left="2666" w:hanging="420"/>
      </w:pPr>
      <w:rPr/>
    </w:lvl>
    <w:lvl w:ilvl="5">
      <w:start w:val="1"/>
      <w:numFmt w:val="lowerRoman"/>
      <w:suff w:val="tab"/>
      <w:lvlText w:val="%6."/>
      <w:lvlJc w:val="right"/>
      <w:pPr>
        <w:ind w:left="3086" w:hanging="420"/>
      </w:pPr>
      <w:rPr/>
    </w:lvl>
    <w:lvl w:ilvl="6">
      <w:start w:val="1"/>
      <w:numFmt w:val="decimal"/>
      <w:suff w:val="tab"/>
      <w:lvlText w:val="%7."/>
      <w:lvlJc w:val="left"/>
      <w:pPr>
        <w:ind w:left="3506" w:hanging="420"/>
      </w:pPr>
      <w:rPr/>
    </w:lvl>
    <w:lvl w:ilvl="7">
      <w:start w:val="1"/>
      <w:numFmt w:val="lowerLetter"/>
      <w:suff w:val="tab"/>
      <w:lvlText w:val="%8)"/>
      <w:lvlJc w:val="left"/>
      <w:pPr>
        <w:ind w:left="3926" w:hanging="420"/>
      </w:pPr>
      <w:rPr/>
    </w:lvl>
    <w:lvl w:ilvl="8">
      <w:start w:val="1"/>
      <w:numFmt w:val="lowerRoman"/>
      <w:suff w:val="tab"/>
      <w:lvlText w:val="%9."/>
      <w:lvlJc w:val="right"/>
      <w:pPr>
        <w:ind w:left="4346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60"/>
  <w:bordersDoNotSurroundFooter w:val="0"/>
  <w:bordersDoNotSurroundHeader w:val="0"/>
  <w:trackRevision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Comment Text"/>
    <w:basedOn w:val="Normal"/>
    <w:link w:val="批注文字Char"/>
    <w:uiPriority w:val="99"/>
    <w:semiHidden/>
    <w:unhideWhenUsed/>
    <w:qFormat/>
    <w:pPr>
      <w:jc w:val="left"/>
    </w:pPr>
    <w:rPr/>
  </w:style>
  <w:style w:type="paragraph" w:styleId="BalloonText">
    <w:name w:val="Balloon Text"/>
    <w:basedOn w:val="Normal"/>
    <w:link w:val="批注框文本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Comment Subject"/>
    <w:basedOn w:val="CommentText"/>
    <w:next w:val="CommentText"/>
    <w:link w:val="批注主题Char"/>
    <w:uiPriority w:val="99"/>
    <w:semiHidden/>
    <w:unhideWhenUsed/>
    <w:qFormat/>
    <w:rPr>
      <w:b/>
      <w:bCs/>
    </w:rPr>
  </w:style>
  <w:style w:type="table" w:styleId="TableGrid">
    <w:name w:val="Table Grid"/>
    <w:basedOn w:val="NormalTable"/>
    <w:uiPriority w:val="39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Comment Reference"/>
    <w:basedOn w:val="DefaultParagraphFont"/>
    <w:uiPriority w:val="99"/>
    <w:semiHidden/>
    <w:unhideWhenUsed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character" w:customStyle="1" w:styleId="页眉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未处理的提及1">
    <w:name w:val="未处理的提及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批注框文本Char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批注文字Char">
    <w:name w:val="批注文字 Char"/>
    <w:basedOn w:val="DefaultParagraphFont"/>
    <w:link w:val="CommentText"/>
    <w:uiPriority w:val="99"/>
    <w:semiHidden/>
    <w:qFormat/>
    <w:rPr/>
  </w:style>
  <w:style w:type="character" w:customStyle="1" w:styleId="批注主题Char">
    <w:name w:val="批注主题 Char"/>
    <w:basedOn w:val="批注文字Char"/>
    <w:link w:val="CommentSubject"/>
    <w:uiPriority w:val="99"/>
    <w:semiHidden/>
    <w:qFormat/>
    <w:rPr>
      <w:b/>
      <w:bCs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3</Pages>
  <Words>125</Words>
  <Characters>714</Characters>
  <Application>WPS Office_11.8.2.10505_F1E327BC-269C-435d-A152-05C5408002CA</Application>
  <DocSecurity>0</DocSecurity>
  <Lines>5</Lines>
  <Paragraphs>1</Paragraphs>
  <CharactersWithSpaces>838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Ningning Zhang</dc:creator>
  <cp:lastModifiedBy>casuser</cp:lastModifiedBy>
  <cp:revision>118</cp:revision>
  <cp:lastPrinted>2025-04-22T10:28:24Z</cp:lastPrinted>
  <dcterms:created xsi:type="dcterms:W3CDTF">2017-02-01T02:20:00Z</dcterms:created>
  <dcterms:modified xsi:type="dcterms:W3CDTF">2025-04-22T10:31:14Z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</Properties>
</file>